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別紙１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補助申請額計算書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tbl>
      <w:tblPr>
        <w:tblStyle w:val="23"/>
        <w:tblW w:w="9660" w:type="dxa"/>
        <w:tblInd w:w="-215" w:type="dxa"/>
        <w:tblLayout w:type="fixed"/>
        <w:tblLook w:firstRow="1" w:lastRow="0" w:firstColumn="1" w:lastColumn="0" w:noHBand="0" w:noVBand="1" w:val="04A0"/>
      </w:tblPr>
      <w:tblGrid>
        <w:gridCol w:w="1654"/>
        <w:gridCol w:w="986"/>
        <w:gridCol w:w="1301"/>
        <w:gridCol w:w="1309"/>
        <w:gridCol w:w="1470"/>
        <w:gridCol w:w="1260"/>
        <w:gridCol w:w="1680"/>
      </w:tblGrid>
      <w:tr>
        <w:trPr/>
        <w:tc>
          <w:tcPr>
            <w:tcW w:w="264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補助対象事業</w:t>
            </w:r>
          </w:p>
        </w:tc>
        <w:tc>
          <w:tcPr>
            <w:tcW w:w="13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経費等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※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1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</w:p>
        </w:tc>
        <w:tc>
          <w:tcPr>
            <w:tcW w:w="13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補助率等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補助額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※２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③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（①×②）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上限額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申請額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（③又は④の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低い額）</w:t>
            </w:r>
          </w:p>
        </w:tc>
      </w:tr>
      <w:tr>
        <w:trPr>
          <w:trHeight w:val="907" w:hRule="exact"/>
        </w:trPr>
        <w:tc>
          <w:tcPr>
            <w:tcW w:w="165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経営改善</w:t>
            </w:r>
          </w:p>
        </w:tc>
        <w:tc>
          <w:tcPr>
            <w:tcW w:w="9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損失</w:t>
            </w:r>
          </w:p>
        </w:tc>
        <w:tc>
          <w:tcPr>
            <w:tcW w:w="13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３分の２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千円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907" w:hRule="exact"/>
        </w:trPr>
        <w:tc>
          <w:tcPr>
            <w:tcW w:w="165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稼働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車両</w:t>
            </w:r>
          </w:p>
        </w:tc>
        <w:tc>
          <w:tcPr>
            <w:tcW w:w="13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台</w:t>
            </w:r>
          </w:p>
        </w:tc>
        <w:tc>
          <w:tcPr>
            <w:tcW w:w="13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100</w:t>
            </w: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907" w:hRule="exact"/>
        </w:trPr>
        <w:tc>
          <w:tcPr>
            <w:tcW w:w="264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利用促進</w:t>
            </w:r>
          </w:p>
        </w:tc>
        <w:tc>
          <w:tcPr>
            <w:tcW w:w="13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分の</w:t>
            </w: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500</w:t>
            </w: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907" w:hRule="exact"/>
        </w:trPr>
        <w:tc>
          <w:tcPr>
            <w:tcW w:w="264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担い手確保</w:t>
            </w:r>
          </w:p>
        </w:tc>
        <w:tc>
          <w:tcPr>
            <w:tcW w:w="13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分の</w:t>
            </w: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907" w:hRule="exact"/>
        </w:trPr>
        <w:tc>
          <w:tcPr>
            <w:tcW w:w="7980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合　計　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※１　補助対象経費は、消費税及び地方消費税を除いた額を記載すること。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※２　千円未満の端数は切捨てること。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1495</TotalTime>
  <Pages>21</Pages>
  <Words>45</Words>
  <Characters>4429</Characters>
  <Application>JUST Note</Application>
  <Lines>4346</Lines>
  <Paragraphs>427</Paragraphs>
  <CharactersWithSpaces>5504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國岡 和貴</dc:creator>
  <cp:lastModifiedBy>國岡 和貴</cp:lastModifiedBy>
  <cp:lastPrinted>2026-03-27T08:30:00Z</cp:lastPrinted>
  <dcterms:created xsi:type="dcterms:W3CDTF">2026-02-20T04:22:00Z</dcterms:created>
  <dcterms:modified xsi:type="dcterms:W3CDTF">2026-03-31T03:22:08Z</dcterms:modified>
  <cp:revision>176</cp:revision>
</cp:coreProperties>
</file>